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AB3" w:rsidRPr="007803F7" w:rsidRDefault="007803F7" w:rsidP="007803F7">
      <w:pPr>
        <w:spacing w:after="0" w:line="240" w:lineRule="auto"/>
        <w:rPr>
          <w:rFonts w:ascii="Times New Roman" w:hAnsi="Times New Roman"/>
          <w:b/>
          <w:color w:val="17365D" w:themeColor="text2" w:themeShade="BF"/>
          <w:sz w:val="24"/>
          <w:szCs w:val="20"/>
        </w:rPr>
      </w:pPr>
      <w:r w:rsidRPr="007803F7">
        <w:rPr>
          <w:rFonts w:ascii="Times New Roman" w:hAnsi="Times New Roman"/>
          <w:b/>
          <w:color w:val="17365D" w:themeColor="text2" w:themeShade="BF"/>
          <w:sz w:val="24"/>
          <w:szCs w:val="20"/>
        </w:rPr>
        <w:t>FACTORS RELATED TO ACHIEVEMENT GOAL ORIENTATION AMONG GRADE 8 STUDENTS OF CAVITE NATIONAL HIGH SCHOOL</w:t>
      </w:r>
    </w:p>
    <w:p w:rsidR="007803F7" w:rsidRPr="007803F7" w:rsidRDefault="007803F7" w:rsidP="007803F7">
      <w:pPr>
        <w:spacing w:after="0" w:line="240" w:lineRule="auto"/>
        <w:rPr>
          <w:rFonts w:ascii="Times New Roman" w:hAnsi="Times New Roman"/>
          <w:sz w:val="20"/>
          <w:szCs w:val="20"/>
        </w:rPr>
      </w:pPr>
    </w:p>
    <w:p w:rsidR="007803F7" w:rsidRPr="007803F7" w:rsidRDefault="007803F7" w:rsidP="007803F7">
      <w:pPr>
        <w:spacing w:after="0" w:line="240" w:lineRule="auto"/>
        <w:rPr>
          <w:rFonts w:ascii="Times New Roman" w:hAnsi="Times New Roman"/>
          <w:sz w:val="24"/>
          <w:szCs w:val="20"/>
        </w:rPr>
      </w:pPr>
      <w:proofErr w:type="spellStart"/>
      <w:r w:rsidRPr="007803F7">
        <w:rPr>
          <w:rFonts w:ascii="Times New Roman" w:hAnsi="Times New Roman"/>
          <w:sz w:val="24"/>
          <w:szCs w:val="20"/>
        </w:rPr>
        <w:t>Joald</w:t>
      </w:r>
      <w:proofErr w:type="spellEnd"/>
      <w:r w:rsidRPr="007803F7">
        <w:rPr>
          <w:rFonts w:ascii="Times New Roman" w:hAnsi="Times New Roman"/>
          <w:sz w:val="24"/>
          <w:szCs w:val="20"/>
        </w:rPr>
        <w:t xml:space="preserve"> G. </w:t>
      </w:r>
      <w:proofErr w:type="spellStart"/>
      <w:r w:rsidRPr="007803F7">
        <w:rPr>
          <w:rFonts w:ascii="Times New Roman" w:hAnsi="Times New Roman"/>
          <w:sz w:val="24"/>
          <w:szCs w:val="20"/>
        </w:rPr>
        <w:t>Calpo</w:t>
      </w:r>
      <w:proofErr w:type="spellEnd"/>
    </w:p>
    <w:p w:rsidR="007803F7" w:rsidRPr="007803F7" w:rsidRDefault="007803F7" w:rsidP="007803F7">
      <w:pPr>
        <w:spacing w:after="0" w:line="240" w:lineRule="auto"/>
        <w:rPr>
          <w:rFonts w:ascii="Times New Roman" w:hAnsi="Times New Roman"/>
          <w:sz w:val="18"/>
          <w:szCs w:val="20"/>
        </w:rPr>
      </w:pPr>
      <w:r w:rsidRPr="007803F7">
        <w:rPr>
          <w:rFonts w:ascii="Times New Roman" w:hAnsi="Times New Roman"/>
          <w:sz w:val="18"/>
          <w:szCs w:val="20"/>
        </w:rPr>
        <w:t>Cavite National High School</w:t>
      </w:r>
      <w:r>
        <w:rPr>
          <w:rFonts w:ascii="Times New Roman" w:hAnsi="Times New Roman"/>
          <w:sz w:val="18"/>
          <w:szCs w:val="20"/>
        </w:rPr>
        <w:t>, Cavite City, Philippines 4100</w:t>
      </w:r>
    </w:p>
    <w:p w:rsidR="007803F7" w:rsidRPr="007803F7" w:rsidRDefault="007803F7" w:rsidP="007803F7">
      <w:pPr>
        <w:spacing w:after="0" w:line="240" w:lineRule="auto"/>
        <w:rPr>
          <w:rFonts w:ascii="Times New Roman" w:hAnsi="Times New Roman"/>
          <w:sz w:val="20"/>
          <w:szCs w:val="20"/>
        </w:rPr>
      </w:pPr>
    </w:p>
    <w:p w:rsidR="007803F7" w:rsidRDefault="007803F7" w:rsidP="007803F7">
      <w:pPr>
        <w:spacing w:after="0" w:line="240" w:lineRule="auto"/>
        <w:jc w:val="both"/>
        <w:rPr>
          <w:rFonts w:ascii="Times New Roman" w:hAnsi="Times New Roman"/>
          <w:sz w:val="20"/>
          <w:szCs w:val="20"/>
        </w:rPr>
        <w:sectPr w:rsidR="007803F7">
          <w:headerReference w:type="default" r:id="rId7"/>
          <w:footerReference w:type="default" r:id="rId8"/>
          <w:pgSz w:w="12240" w:h="15840"/>
          <w:pgMar w:top="1440" w:right="1440" w:bottom="1440" w:left="1440" w:header="720" w:footer="720" w:gutter="0"/>
          <w:cols w:space="720"/>
          <w:docGrid w:linePitch="360"/>
        </w:sectPr>
      </w:pPr>
    </w:p>
    <w:p w:rsidR="007803F7" w:rsidRPr="007803F7" w:rsidRDefault="007803F7" w:rsidP="007803F7">
      <w:pPr>
        <w:spacing w:after="0" w:line="240" w:lineRule="auto"/>
        <w:ind w:firstLine="720"/>
        <w:jc w:val="both"/>
        <w:rPr>
          <w:rFonts w:ascii="Times New Roman" w:hAnsi="Times New Roman"/>
          <w:sz w:val="20"/>
          <w:szCs w:val="20"/>
        </w:rPr>
      </w:pPr>
      <w:r w:rsidRPr="007803F7">
        <w:rPr>
          <w:rFonts w:ascii="Times New Roman" w:hAnsi="Times New Roman"/>
          <w:sz w:val="20"/>
          <w:szCs w:val="20"/>
        </w:rPr>
        <w:lastRenderedPageBreak/>
        <w:t>Science is an integral part of every human affair and is incorporated in the personal, social, economic and ethical aspects of life. Developing interest in science among students is of great importance in providing them the competencies necessary in a knowledge-based society. The current K-12 Basic Education Curriculum of the Department of Education (</w:t>
      </w:r>
      <w:proofErr w:type="spellStart"/>
      <w:r w:rsidRPr="007803F7">
        <w:rPr>
          <w:rFonts w:ascii="Times New Roman" w:hAnsi="Times New Roman"/>
          <w:sz w:val="20"/>
          <w:szCs w:val="20"/>
        </w:rPr>
        <w:t>DepEd</w:t>
      </w:r>
      <w:proofErr w:type="spellEnd"/>
      <w:r w:rsidRPr="007803F7">
        <w:rPr>
          <w:rFonts w:ascii="Times New Roman" w:hAnsi="Times New Roman"/>
          <w:sz w:val="20"/>
          <w:szCs w:val="20"/>
        </w:rPr>
        <w:t>) views science education as a way of molding scientifically literate students that will equip them to be informed and participative members of the society (</w:t>
      </w:r>
      <w:proofErr w:type="spellStart"/>
      <w:r w:rsidRPr="007803F7">
        <w:rPr>
          <w:rFonts w:ascii="Times New Roman" w:hAnsi="Times New Roman"/>
          <w:sz w:val="20"/>
          <w:szCs w:val="20"/>
        </w:rPr>
        <w:t>DepEd</w:t>
      </w:r>
      <w:proofErr w:type="spellEnd"/>
      <w:r w:rsidRPr="007803F7">
        <w:rPr>
          <w:rFonts w:ascii="Times New Roman" w:hAnsi="Times New Roman"/>
          <w:sz w:val="20"/>
          <w:szCs w:val="20"/>
        </w:rPr>
        <w:t>, 2013). This new curriculum is designed to address the poor quality of basic education reflected in the low achievement scores of Filipino students (</w:t>
      </w:r>
      <w:proofErr w:type="spellStart"/>
      <w:r w:rsidRPr="007803F7">
        <w:rPr>
          <w:rFonts w:ascii="Times New Roman" w:hAnsi="Times New Roman"/>
          <w:sz w:val="20"/>
          <w:szCs w:val="20"/>
        </w:rPr>
        <w:t>DepEd</w:t>
      </w:r>
      <w:proofErr w:type="spellEnd"/>
      <w:r w:rsidRPr="007803F7">
        <w:rPr>
          <w:rFonts w:ascii="Times New Roman" w:hAnsi="Times New Roman"/>
          <w:sz w:val="20"/>
          <w:szCs w:val="20"/>
        </w:rPr>
        <w:t xml:space="preserve">, 2010). </w:t>
      </w:r>
    </w:p>
    <w:p w:rsidR="007803F7" w:rsidRPr="007803F7" w:rsidRDefault="007803F7" w:rsidP="007803F7">
      <w:pPr>
        <w:spacing w:after="0" w:line="240" w:lineRule="auto"/>
        <w:jc w:val="both"/>
        <w:rPr>
          <w:rFonts w:ascii="Times New Roman" w:hAnsi="Times New Roman"/>
          <w:sz w:val="20"/>
          <w:szCs w:val="20"/>
        </w:rPr>
      </w:pPr>
    </w:p>
    <w:p w:rsidR="007803F7" w:rsidRPr="007803F7" w:rsidRDefault="007803F7" w:rsidP="007803F7">
      <w:pPr>
        <w:spacing w:after="0" w:line="240" w:lineRule="auto"/>
        <w:jc w:val="both"/>
        <w:rPr>
          <w:rFonts w:ascii="Times New Roman" w:hAnsi="Times New Roman"/>
          <w:sz w:val="20"/>
          <w:szCs w:val="20"/>
        </w:rPr>
      </w:pPr>
      <w:r w:rsidRPr="007803F7">
        <w:rPr>
          <w:rFonts w:ascii="Times New Roman" w:hAnsi="Times New Roman"/>
          <w:sz w:val="20"/>
          <w:szCs w:val="20"/>
        </w:rPr>
        <w:tab/>
        <w:t>According to the 2003 Trends in International Mathematics and Science Study (TIMSS), Philippines ranked 34</w:t>
      </w:r>
      <w:r w:rsidRPr="007803F7">
        <w:rPr>
          <w:rFonts w:ascii="Times New Roman" w:hAnsi="Times New Roman"/>
          <w:sz w:val="20"/>
          <w:szCs w:val="20"/>
          <w:vertAlign w:val="superscript"/>
        </w:rPr>
        <w:t>th</w:t>
      </w:r>
      <w:r w:rsidRPr="007803F7">
        <w:rPr>
          <w:rFonts w:ascii="Times New Roman" w:hAnsi="Times New Roman"/>
          <w:sz w:val="20"/>
          <w:szCs w:val="20"/>
        </w:rPr>
        <w:t xml:space="preserve"> among the 38 countries included in the survey. This ranking is based on the achievement test results in science and math of Grade 4 and second year high school students on the last international test the country participated (Martin </w:t>
      </w:r>
      <w:r w:rsidRPr="007803F7">
        <w:rPr>
          <w:rFonts w:ascii="Times New Roman" w:hAnsi="Times New Roman"/>
          <w:i/>
          <w:sz w:val="20"/>
          <w:szCs w:val="20"/>
        </w:rPr>
        <w:t>et al.</w:t>
      </w:r>
      <w:r w:rsidRPr="007803F7">
        <w:rPr>
          <w:rFonts w:ascii="Times New Roman" w:hAnsi="Times New Roman"/>
          <w:sz w:val="20"/>
          <w:szCs w:val="20"/>
        </w:rPr>
        <w:t>, 2004). Based from the national achievement test result for school year 2011-2012, high school students obtained a mean percentage score (MPS) of 40.53 in Science wherein 49.45% of the students is categorized to have average achievement level and 41.14% has low achievement level. Region IVA-CALABARZON ranked to be the lowest among the large-sized regions of the country. Reflected on this is the performance of the Division of Cavite City, where Cavite National High School is under, obtaining 44.53 MPS in Science described to be average and far below the mastery level of 96-100% (National Education Testing and Research Center, 2013). Clearly, there is a need to identify the reasons for this poor performance of the students so that applicable interventions will be able to develop leading to the increase in achievement level towards mastery.</w:t>
      </w:r>
    </w:p>
    <w:p w:rsidR="007803F7" w:rsidRPr="007803F7" w:rsidRDefault="007803F7" w:rsidP="007803F7">
      <w:pPr>
        <w:spacing w:after="0" w:line="240" w:lineRule="auto"/>
        <w:jc w:val="both"/>
        <w:rPr>
          <w:rFonts w:ascii="Times New Roman" w:hAnsi="Times New Roman"/>
          <w:sz w:val="20"/>
          <w:szCs w:val="20"/>
        </w:rPr>
      </w:pPr>
    </w:p>
    <w:p w:rsidR="007803F7" w:rsidRPr="007803F7" w:rsidRDefault="007803F7" w:rsidP="007803F7">
      <w:pPr>
        <w:spacing w:after="0" w:line="240" w:lineRule="auto"/>
        <w:jc w:val="both"/>
        <w:rPr>
          <w:rFonts w:ascii="Times New Roman" w:hAnsi="Times New Roman"/>
          <w:sz w:val="20"/>
          <w:szCs w:val="20"/>
        </w:rPr>
      </w:pPr>
      <w:r w:rsidRPr="007803F7">
        <w:rPr>
          <w:rFonts w:ascii="Times New Roman" w:hAnsi="Times New Roman"/>
          <w:sz w:val="20"/>
          <w:szCs w:val="20"/>
        </w:rPr>
        <w:tab/>
        <w:t>Redesigning the basic education curriculum of the country is not the sole and most effective solution in addressing the problems on the poor quality education. Motivation of the students to learn have a great deal to do with the problem for it directly affects their current and future academic achievement (</w:t>
      </w:r>
      <w:proofErr w:type="spellStart"/>
      <w:r w:rsidRPr="007803F7">
        <w:rPr>
          <w:rFonts w:ascii="Times New Roman" w:hAnsi="Times New Roman"/>
          <w:sz w:val="20"/>
          <w:szCs w:val="20"/>
        </w:rPr>
        <w:t>Mattern</w:t>
      </w:r>
      <w:proofErr w:type="spellEnd"/>
      <w:r w:rsidRPr="007803F7">
        <w:rPr>
          <w:rFonts w:ascii="Times New Roman" w:hAnsi="Times New Roman"/>
          <w:sz w:val="20"/>
          <w:szCs w:val="20"/>
        </w:rPr>
        <w:t xml:space="preserve">, 2005). </w:t>
      </w:r>
    </w:p>
    <w:p w:rsidR="007803F7" w:rsidRPr="007803F7" w:rsidRDefault="007803F7" w:rsidP="007803F7">
      <w:pPr>
        <w:spacing w:after="0" w:line="240" w:lineRule="auto"/>
        <w:jc w:val="both"/>
        <w:rPr>
          <w:rFonts w:ascii="Times New Roman" w:hAnsi="Times New Roman"/>
          <w:sz w:val="20"/>
          <w:szCs w:val="20"/>
        </w:rPr>
      </w:pPr>
    </w:p>
    <w:p w:rsidR="007803F7" w:rsidRPr="007803F7" w:rsidRDefault="007803F7" w:rsidP="007803F7">
      <w:pPr>
        <w:autoSpaceDE w:val="0"/>
        <w:autoSpaceDN w:val="0"/>
        <w:adjustRightInd w:val="0"/>
        <w:spacing w:after="0" w:line="240" w:lineRule="auto"/>
        <w:jc w:val="both"/>
        <w:rPr>
          <w:rFonts w:ascii="Times New Roman" w:hAnsi="Times New Roman"/>
          <w:sz w:val="20"/>
          <w:szCs w:val="20"/>
        </w:rPr>
      </w:pPr>
      <w:r w:rsidRPr="007803F7">
        <w:rPr>
          <w:rFonts w:ascii="Times New Roman" w:hAnsi="Times New Roman"/>
          <w:sz w:val="20"/>
          <w:szCs w:val="20"/>
        </w:rPr>
        <w:lastRenderedPageBreak/>
        <w:tab/>
        <w:t>Understanding how and why students are motivated is critical. Motivation refers to the individual forces that account for the direction, level, and persistence of individual’s effort in a certain task (</w:t>
      </w:r>
      <w:proofErr w:type="spellStart"/>
      <w:r w:rsidRPr="007803F7">
        <w:rPr>
          <w:rFonts w:ascii="Times New Roman" w:hAnsi="Times New Roman"/>
          <w:sz w:val="20"/>
          <w:szCs w:val="20"/>
        </w:rPr>
        <w:t>Schermerhorn</w:t>
      </w:r>
      <w:proofErr w:type="spellEnd"/>
      <w:r w:rsidRPr="007803F7">
        <w:rPr>
          <w:rFonts w:ascii="Times New Roman" w:hAnsi="Times New Roman"/>
          <w:sz w:val="20"/>
          <w:szCs w:val="20"/>
        </w:rPr>
        <w:t xml:space="preserve"> </w:t>
      </w:r>
      <w:r w:rsidRPr="007803F7">
        <w:rPr>
          <w:rFonts w:ascii="Times New Roman" w:hAnsi="Times New Roman"/>
          <w:i/>
          <w:sz w:val="20"/>
          <w:szCs w:val="20"/>
        </w:rPr>
        <w:t>et al.</w:t>
      </w:r>
      <w:r w:rsidRPr="007803F7">
        <w:rPr>
          <w:rFonts w:ascii="Times New Roman" w:hAnsi="Times New Roman"/>
          <w:sz w:val="20"/>
          <w:szCs w:val="20"/>
        </w:rPr>
        <w:t xml:space="preserve">, 2010). An important framework that should be taken into consideration in managing motivation is the current goal or objective of an individual (Moorhead &amp; Griffin, 1998). Studies in </w:t>
      </w:r>
      <w:bookmarkStart w:id="0" w:name="_GoBack"/>
      <w:bookmarkEnd w:id="0"/>
      <w:r w:rsidRPr="007803F7">
        <w:rPr>
          <w:rFonts w:ascii="Times New Roman" w:hAnsi="Times New Roman"/>
          <w:sz w:val="20"/>
          <w:szCs w:val="20"/>
        </w:rPr>
        <w:t>academic motivation cited the role of achievement goal in understanding the disposition of a student in learning (</w:t>
      </w:r>
      <w:proofErr w:type="spellStart"/>
      <w:r w:rsidRPr="007803F7">
        <w:rPr>
          <w:rFonts w:ascii="Times New Roman" w:hAnsi="Times New Roman"/>
          <w:sz w:val="20"/>
          <w:szCs w:val="20"/>
        </w:rPr>
        <w:t>Harackiewicz</w:t>
      </w:r>
      <w:proofErr w:type="spellEnd"/>
      <w:r w:rsidRPr="007803F7">
        <w:rPr>
          <w:rFonts w:ascii="Times New Roman" w:hAnsi="Times New Roman"/>
          <w:sz w:val="20"/>
          <w:szCs w:val="20"/>
        </w:rPr>
        <w:t xml:space="preserve"> </w:t>
      </w:r>
      <w:r w:rsidRPr="007803F7">
        <w:rPr>
          <w:rFonts w:ascii="Times New Roman" w:hAnsi="Times New Roman"/>
          <w:i/>
          <w:sz w:val="20"/>
          <w:szCs w:val="20"/>
        </w:rPr>
        <w:t>et al.</w:t>
      </w:r>
      <w:r w:rsidRPr="007803F7">
        <w:rPr>
          <w:rFonts w:ascii="Times New Roman" w:hAnsi="Times New Roman"/>
          <w:sz w:val="20"/>
          <w:szCs w:val="20"/>
        </w:rPr>
        <w:t xml:space="preserve">, 2000; </w:t>
      </w:r>
      <w:proofErr w:type="spellStart"/>
      <w:r w:rsidRPr="007803F7">
        <w:rPr>
          <w:rFonts w:ascii="Times New Roman" w:hAnsi="Times New Roman"/>
          <w:sz w:val="20"/>
          <w:szCs w:val="20"/>
        </w:rPr>
        <w:t>Pintrich</w:t>
      </w:r>
      <w:proofErr w:type="spellEnd"/>
      <w:r w:rsidRPr="007803F7">
        <w:rPr>
          <w:rFonts w:ascii="Times New Roman" w:hAnsi="Times New Roman"/>
          <w:sz w:val="20"/>
          <w:szCs w:val="20"/>
        </w:rPr>
        <w:t xml:space="preserve">, 2000; Grant &amp; </w:t>
      </w:r>
      <w:proofErr w:type="spellStart"/>
      <w:r w:rsidRPr="007803F7">
        <w:rPr>
          <w:rFonts w:ascii="Times New Roman" w:hAnsi="Times New Roman"/>
          <w:sz w:val="20"/>
          <w:szCs w:val="20"/>
        </w:rPr>
        <w:t>Dweck</w:t>
      </w:r>
      <w:proofErr w:type="spellEnd"/>
      <w:r w:rsidRPr="007803F7">
        <w:rPr>
          <w:rFonts w:ascii="Times New Roman" w:hAnsi="Times New Roman"/>
          <w:sz w:val="20"/>
          <w:szCs w:val="20"/>
        </w:rPr>
        <w:t xml:space="preserve">, 2003; Wolters, 2004; </w:t>
      </w:r>
      <w:proofErr w:type="spellStart"/>
      <w:r w:rsidRPr="007803F7">
        <w:rPr>
          <w:rFonts w:ascii="Times New Roman" w:hAnsi="Times New Roman"/>
          <w:sz w:val="20"/>
          <w:szCs w:val="20"/>
        </w:rPr>
        <w:t>Linnenbrink</w:t>
      </w:r>
      <w:proofErr w:type="spellEnd"/>
      <w:r w:rsidRPr="007803F7">
        <w:rPr>
          <w:rFonts w:ascii="Times New Roman" w:hAnsi="Times New Roman"/>
          <w:sz w:val="20"/>
          <w:szCs w:val="20"/>
        </w:rPr>
        <w:t>, 2005). According to the achievement goal theory, achievement goal of student pertains to the reasons they believe in while engaged in an academic setting (Ames &amp; Archer, 1988). Students’ achievement goal orientation varies according to learning environment (</w:t>
      </w:r>
      <w:proofErr w:type="spellStart"/>
      <w:r w:rsidRPr="007803F7">
        <w:rPr>
          <w:rFonts w:ascii="Times New Roman" w:hAnsi="Times New Roman"/>
          <w:sz w:val="20"/>
          <w:szCs w:val="20"/>
        </w:rPr>
        <w:t>Tapola</w:t>
      </w:r>
      <w:proofErr w:type="spellEnd"/>
      <w:r w:rsidRPr="007803F7">
        <w:rPr>
          <w:rFonts w:ascii="Times New Roman" w:hAnsi="Times New Roman"/>
          <w:sz w:val="20"/>
          <w:szCs w:val="20"/>
        </w:rPr>
        <w:t xml:space="preserve"> &amp; </w:t>
      </w:r>
      <w:proofErr w:type="spellStart"/>
      <w:r w:rsidRPr="007803F7">
        <w:rPr>
          <w:rFonts w:ascii="Times New Roman" w:hAnsi="Times New Roman"/>
          <w:sz w:val="20"/>
          <w:szCs w:val="20"/>
        </w:rPr>
        <w:t>Niemivirta</w:t>
      </w:r>
      <w:proofErr w:type="spellEnd"/>
      <w:r w:rsidRPr="007803F7">
        <w:rPr>
          <w:rFonts w:ascii="Times New Roman" w:hAnsi="Times New Roman"/>
          <w:sz w:val="20"/>
          <w:szCs w:val="20"/>
        </w:rPr>
        <w:t xml:space="preserve">, 2008). </w:t>
      </w:r>
      <w:proofErr w:type="spellStart"/>
      <w:r w:rsidRPr="007803F7">
        <w:rPr>
          <w:rFonts w:ascii="Times New Roman" w:hAnsi="Times New Roman"/>
          <w:sz w:val="20"/>
          <w:szCs w:val="20"/>
        </w:rPr>
        <w:t>Dweck</w:t>
      </w:r>
      <w:proofErr w:type="spellEnd"/>
      <w:r w:rsidRPr="007803F7">
        <w:rPr>
          <w:rFonts w:ascii="Times New Roman" w:hAnsi="Times New Roman"/>
          <w:sz w:val="20"/>
          <w:szCs w:val="20"/>
        </w:rPr>
        <w:t xml:space="preserve"> &amp; Leggett (1988) classified goal orientation of students into two—mastery and performance-approach goals. Students adopting mastery goals aim to develop his/her skills, advance learning, understand the topic or master a task (Elliot, 1999). On the other hand, performance-approach oriented students aim to show his/her abilities to other and get the highest grades (</w:t>
      </w:r>
      <w:proofErr w:type="spellStart"/>
      <w:r w:rsidRPr="007803F7">
        <w:rPr>
          <w:rFonts w:ascii="Times New Roman" w:hAnsi="Times New Roman"/>
          <w:sz w:val="20"/>
          <w:szCs w:val="20"/>
        </w:rPr>
        <w:t>Sungur</w:t>
      </w:r>
      <w:proofErr w:type="spellEnd"/>
      <w:r w:rsidRPr="007803F7">
        <w:rPr>
          <w:rFonts w:ascii="Times New Roman" w:hAnsi="Times New Roman"/>
          <w:sz w:val="20"/>
          <w:szCs w:val="20"/>
        </w:rPr>
        <w:t xml:space="preserve"> &amp; </w:t>
      </w:r>
      <w:proofErr w:type="spellStart"/>
      <w:r w:rsidRPr="007803F7">
        <w:rPr>
          <w:rFonts w:ascii="Times New Roman" w:hAnsi="Times New Roman"/>
          <w:sz w:val="20"/>
          <w:szCs w:val="20"/>
        </w:rPr>
        <w:t>Senler</w:t>
      </w:r>
      <w:proofErr w:type="spellEnd"/>
      <w:r w:rsidRPr="007803F7">
        <w:rPr>
          <w:rFonts w:ascii="Times New Roman" w:hAnsi="Times New Roman"/>
          <w:sz w:val="20"/>
          <w:szCs w:val="20"/>
        </w:rPr>
        <w:t>, 2010).</w:t>
      </w:r>
    </w:p>
    <w:p w:rsidR="007803F7" w:rsidRPr="007803F7" w:rsidRDefault="007803F7" w:rsidP="007803F7">
      <w:pPr>
        <w:autoSpaceDE w:val="0"/>
        <w:autoSpaceDN w:val="0"/>
        <w:adjustRightInd w:val="0"/>
        <w:spacing w:after="0" w:line="240" w:lineRule="auto"/>
        <w:jc w:val="both"/>
        <w:rPr>
          <w:rFonts w:ascii="Times New Roman" w:hAnsi="Times New Roman"/>
          <w:sz w:val="20"/>
          <w:szCs w:val="20"/>
        </w:rPr>
      </w:pPr>
    </w:p>
    <w:p w:rsidR="007803F7" w:rsidRPr="007803F7" w:rsidRDefault="007803F7" w:rsidP="007803F7">
      <w:pPr>
        <w:autoSpaceDE w:val="0"/>
        <w:autoSpaceDN w:val="0"/>
        <w:adjustRightInd w:val="0"/>
        <w:spacing w:after="0" w:line="240" w:lineRule="auto"/>
        <w:jc w:val="both"/>
        <w:rPr>
          <w:rFonts w:ascii="Times New Roman" w:hAnsi="Times New Roman"/>
          <w:sz w:val="20"/>
          <w:szCs w:val="20"/>
        </w:rPr>
      </w:pPr>
      <w:r w:rsidRPr="007803F7">
        <w:rPr>
          <w:rFonts w:ascii="Times New Roman" w:hAnsi="Times New Roman"/>
          <w:sz w:val="20"/>
          <w:szCs w:val="20"/>
        </w:rPr>
        <w:tab/>
        <w:t xml:space="preserve">Mastery and performance-approach goals clearly describe the reasons of students’ behavior in an academic environment. There are many instances in a students’ academic experience in which the need to excel in a class is driven not by the satisfaction of improving ones knowledge and skills through mastery instead by the realization that the knowledge will be needed in the future (Greene </w:t>
      </w:r>
      <w:r w:rsidRPr="007803F7">
        <w:rPr>
          <w:rFonts w:ascii="Times New Roman" w:hAnsi="Times New Roman"/>
          <w:i/>
          <w:sz w:val="20"/>
          <w:szCs w:val="20"/>
        </w:rPr>
        <w:t>et al.</w:t>
      </w:r>
      <w:r w:rsidRPr="007803F7">
        <w:rPr>
          <w:rFonts w:ascii="Times New Roman" w:hAnsi="Times New Roman"/>
          <w:sz w:val="20"/>
          <w:szCs w:val="20"/>
        </w:rPr>
        <w:t xml:space="preserve">, 2004). Miller &amp; Brickman (2004), conversely, pointed out that students’ achievement can also be grounded to their personally valued future goals, introducing a new goal—perceived instrumentality. Lau &amp; Lee (2006) mentioned that perceived instrumentality provides a direction for helping the students with poor motivation by letting them internalize the future application of academic-based knowledge and skills.  </w:t>
      </w:r>
    </w:p>
    <w:p w:rsidR="007803F7" w:rsidRPr="007803F7" w:rsidRDefault="007803F7" w:rsidP="007803F7">
      <w:pPr>
        <w:autoSpaceDE w:val="0"/>
        <w:autoSpaceDN w:val="0"/>
        <w:adjustRightInd w:val="0"/>
        <w:spacing w:after="0" w:line="240" w:lineRule="auto"/>
        <w:jc w:val="both"/>
        <w:rPr>
          <w:rFonts w:ascii="Times New Roman" w:hAnsi="Times New Roman"/>
          <w:sz w:val="20"/>
          <w:szCs w:val="20"/>
        </w:rPr>
      </w:pPr>
    </w:p>
    <w:p w:rsidR="007803F7" w:rsidRPr="007803F7" w:rsidRDefault="007803F7" w:rsidP="007803F7">
      <w:pPr>
        <w:autoSpaceDE w:val="0"/>
        <w:autoSpaceDN w:val="0"/>
        <w:adjustRightInd w:val="0"/>
        <w:spacing w:after="0" w:line="240" w:lineRule="auto"/>
        <w:jc w:val="both"/>
        <w:rPr>
          <w:rFonts w:ascii="Times New Roman" w:hAnsi="Times New Roman"/>
          <w:sz w:val="20"/>
          <w:szCs w:val="20"/>
        </w:rPr>
      </w:pPr>
      <w:r w:rsidRPr="007803F7">
        <w:rPr>
          <w:rFonts w:ascii="Times New Roman" w:hAnsi="Times New Roman"/>
          <w:sz w:val="20"/>
          <w:szCs w:val="20"/>
        </w:rPr>
        <w:tab/>
        <w:t>Grounded with the presented goal orientations adopted by students in class and the current academic achievement status of Filipino students, this study will determine if the adoption of these achievement goals (mastery, performance-</w:t>
      </w:r>
      <w:r w:rsidRPr="007803F7">
        <w:rPr>
          <w:rFonts w:ascii="Times New Roman" w:hAnsi="Times New Roman"/>
          <w:sz w:val="20"/>
          <w:szCs w:val="20"/>
        </w:rPr>
        <w:lastRenderedPageBreak/>
        <w:t>approach and perceived instrumentality) among students provide a positive impact to their performance in class. Most literatures that cite the consequences of goal orientation to achievement of students focused on the whole learning experience and not putting into focus a science classroom setting which is highly inquiry-based and contextual in nature. Knowledge that may be imparted by this study can serve as a basis for future intervention programs that can be adopted to further improve the competencies of the students under the new basic education curriculum of the country.</w:t>
      </w:r>
    </w:p>
    <w:p w:rsidR="007803F7" w:rsidRDefault="007803F7" w:rsidP="007803F7">
      <w:pPr>
        <w:spacing w:after="0" w:line="240" w:lineRule="auto"/>
        <w:rPr>
          <w:rFonts w:ascii="Times New Roman" w:hAnsi="Times New Roman"/>
          <w:sz w:val="20"/>
          <w:szCs w:val="20"/>
        </w:rPr>
      </w:pPr>
    </w:p>
    <w:p w:rsidR="007803F7" w:rsidRDefault="007803F7" w:rsidP="007803F7">
      <w:pPr>
        <w:spacing w:after="0" w:line="240" w:lineRule="auto"/>
        <w:rPr>
          <w:rFonts w:ascii="Times New Roman" w:hAnsi="Times New Roman"/>
          <w:sz w:val="20"/>
          <w:szCs w:val="20"/>
        </w:rPr>
      </w:pPr>
      <w:r>
        <w:rPr>
          <w:rFonts w:ascii="Times New Roman" w:hAnsi="Times New Roman"/>
          <w:sz w:val="20"/>
          <w:szCs w:val="20"/>
        </w:rPr>
        <w:t>REFERENCES</w:t>
      </w:r>
    </w:p>
    <w:p w:rsidR="007803F7" w:rsidRDefault="007803F7" w:rsidP="007803F7">
      <w:pPr>
        <w:spacing w:after="0" w:line="240" w:lineRule="auto"/>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proofErr w:type="gramStart"/>
      <w:r w:rsidRPr="007803F7">
        <w:rPr>
          <w:rFonts w:ascii="Times New Roman" w:hAnsi="Times New Roman"/>
          <w:sz w:val="20"/>
          <w:szCs w:val="20"/>
        </w:rPr>
        <w:t>Amer</w:t>
      </w:r>
      <w:proofErr w:type="spellEnd"/>
      <w:r w:rsidRPr="007803F7">
        <w:rPr>
          <w:rFonts w:ascii="Times New Roman" w:hAnsi="Times New Roman"/>
          <w:sz w:val="20"/>
          <w:szCs w:val="20"/>
        </w:rPr>
        <w:t xml:space="preserve"> C. and J. Archer.</w:t>
      </w:r>
      <w:proofErr w:type="gramEnd"/>
      <w:r w:rsidRPr="007803F7">
        <w:rPr>
          <w:rFonts w:ascii="Times New Roman" w:hAnsi="Times New Roman"/>
          <w:sz w:val="20"/>
          <w:szCs w:val="20"/>
        </w:rPr>
        <w:t xml:space="preserve"> (1988). Achievement goals in the classroom: students’ learning strategies and motivation processes. </w:t>
      </w:r>
      <w:r w:rsidRPr="007803F7">
        <w:rPr>
          <w:rFonts w:ascii="Times New Roman" w:hAnsi="Times New Roman"/>
          <w:i/>
          <w:sz w:val="20"/>
          <w:szCs w:val="20"/>
        </w:rPr>
        <w:t>Journal of Educational Psychology 80 (30): 26-267.</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roofErr w:type="gramStart"/>
      <w:r w:rsidRPr="007803F7">
        <w:rPr>
          <w:rFonts w:ascii="Times New Roman" w:hAnsi="Times New Roman"/>
          <w:sz w:val="20"/>
          <w:szCs w:val="20"/>
        </w:rPr>
        <w:t>Department of Education (</w:t>
      </w:r>
      <w:proofErr w:type="spellStart"/>
      <w:r w:rsidRPr="007803F7">
        <w:rPr>
          <w:rFonts w:ascii="Times New Roman" w:hAnsi="Times New Roman"/>
          <w:sz w:val="20"/>
          <w:szCs w:val="20"/>
        </w:rPr>
        <w:t>DepEd</w:t>
      </w:r>
      <w:proofErr w:type="spellEnd"/>
      <w:r w:rsidRPr="007803F7">
        <w:rPr>
          <w:rFonts w:ascii="Times New Roman" w:hAnsi="Times New Roman"/>
          <w:sz w:val="20"/>
          <w:szCs w:val="20"/>
        </w:rPr>
        <w:t>).</w:t>
      </w:r>
      <w:proofErr w:type="gramEnd"/>
      <w:r w:rsidRPr="007803F7">
        <w:rPr>
          <w:rFonts w:ascii="Times New Roman" w:hAnsi="Times New Roman"/>
          <w:sz w:val="20"/>
          <w:szCs w:val="20"/>
        </w:rPr>
        <w:t xml:space="preserve"> (2010) Discussion paper on the enhanced k+12 basic education </w:t>
      </w:r>
      <w:proofErr w:type="gramStart"/>
      <w:r w:rsidRPr="007803F7">
        <w:rPr>
          <w:rFonts w:ascii="Times New Roman" w:hAnsi="Times New Roman"/>
          <w:sz w:val="20"/>
          <w:szCs w:val="20"/>
        </w:rPr>
        <w:t>program</w:t>
      </w:r>
      <w:proofErr w:type="gramEnd"/>
      <w:r w:rsidRPr="007803F7">
        <w:rPr>
          <w:rFonts w:ascii="Times New Roman" w:hAnsi="Times New Roman"/>
          <w:sz w:val="20"/>
          <w:szCs w:val="20"/>
        </w:rPr>
        <w:t>. Pasig City: Department of Education</w:t>
      </w:r>
    </w:p>
    <w:p w:rsid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r w:rsidRPr="007803F7">
        <w:rPr>
          <w:rFonts w:ascii="Times New Roman" w:hAnsi="Times New Roman"/>
          <w:sz w:val="20"/>
          <w:szCs w:val="20"/>
        </w:rPr>
        <w:t xml:space="preserve">______________________________. </w:t>
      </w:r>
      <w:proofErr w:type="gramStart"/>
      <w:r w:rsidRPr="007803F7">
        <w:rPr>
          <w:rFonts w:ascii="Times New Roman" w:hAnsi="Times New Roman"/>
          <w:sz w:val="20"/>
          <w:szCs w:val="20"/>
        </w:rPr>
        <w:t>(2013). K to 12 Curriculum Guide- Science.</w:t>
      </w:r>
      <w:proofErr w:type="gramEnd"/>
      <w:r w:rsidRPr="007803F7">
        <w:rPr>
          <w:rFonts w:ascii="Times New Roman" w:hAnsi="Times New Roman"/>
          <w:sz w:val="20"/>
          <w:szCs w:val="20"/>
        </w:rPr>
        <w:t xml:space="preserve"> Pasig City: Department of Education</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proofErr w:type="gramStart"/>
      <w:r w:rsidRPr="007803F7">
        <w:rPr>
          <w:rFonts w:ascii="Times New Roman" w:hAnsi="Times New Roman"/>
          <w:sz w:val="20"/>
          <w:szCs w:val="20"/>
        </w:rPr>
        <w:t>Dweck</w:t>
      </w:r>
      <w:proofErr w:type="spellEnd"/>
      <w:r w:rsidRPr="007803F7">
        <w:rPr>
          <w:rFonts w:ascii="Times New Roman" w:hAnsi="Times New Roman"/>
          <w:sz w:val="20"/>
          <w:szCs w:val="20"/>
        </w:rPr>
        <w:t>, C.S. and E.L. Leggett.</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(1988). A social-cognitive approach to motivation and personality.</w:t>
      </w:r>
      <w:proofErr w:type="gramEnd"/>
      <w:r w:rsidRPr="007803F7">
        <w:rPr>
          <w:rFonts w:ascii="Times New Roman" w:hAnsi="Times New Roman"/>
          <w:sz w:val="20"/>
          <w:szCs w:val="20"/>
        </w:rPr>
        <w:t xml:space="preserve"> </w:t>
      </w:r>
      <w:r w:rsidRPr="007803F7">
        <w:rPr>
          <w:rFonts w:ascii="Times New Roman" w:hAnsi="Times New Roman"/>
          <w:i/>
          <w:sz w:val="20"/>
          <w:szCs w:val="20"/>
        </w:rPr>
        <w:t>Psychological Review 95 (2): 256-273.</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r w:rsidRPr="007803F7">
        <w:rPr>
          <w:rFonts w:ascii="Times New Roman" w:hAnsi="Times New Roman"/>
          <w:sz w:val="20"/>
          <w:szCs w:val="20"/>
        </w:rPr>
        <w:t xml:space="preserve">Elliot, A.J. (1999). </w:t>
      </w:r>
      <w:proofErr w:type="gramStart"/>
      <w:r w:rsidRPr="007803F7">
        <w:rPr>
          <w:rFonts w:ascii="Times New Roman" w:hAnsi="Times New Roman"/>
          <w:sz w:val="20"/>
          <w:szCs w:val="20"/>
        </w:rPr>
        <w:t>Approach and avoidance motivation and achievement goals.</w:t>
      </w:r>
      <w:proofErr w:type="gramEnd"/>
      <w:r w:rsidRPr="007803F7">
        <w:rPr>
          <w:rFonts w:ascii="Times New Roman" w:hAnsi="Times New Roman"/>
          <w:sz w:val="20"/>
          <w:szCs w:val="20"/>
        </w:rPr>
        <w:t xml:space="preserve"> </w:t>
      </w:r>
      <w:r w:rsidRPr="007803F7">
        <w:rPr>
          <w:rFonts w:ascii="Times New Roman" w:hAnsi="Times New Roman"/>
          <w:i/>
          <w:sz w:val="20"/>
          <w:szCs w:val="20"/>
        </w:rPr>
        <w:t>Educational Psychologists 34 (3): 169-189.</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gramStart"/>
      <w:r w:rsidRPr="007803F7">
        <w:rPr>
          <w:rFonts w:ascii="Times New Roman" w:hAnsi="Times New Roman"/>
          <w:sz w:val="20"/>
          <w:szCs w:val="20"/>
        </w:rPr>
        <w:t xml:space="preserve">Grant, H. and C. </w:t>
      </w:r>
      <w:proofErr w:type="spellStart"/>
      <w:r w:rsidRPr="007803F7">
        <w:rPr>
          <w:rFonts w:ascii="Times New Roman" w:hAnsi="Times New Roman"/>
          <w:sz w:val="20"/>
          <w:szCs w:val="20"/>
        </w:rPr>
        <w:t>Dweck</w:t>
      </w:r>
      <w:proofErr w:type="spellEnd"/>
      <w:r w:rsidRPr="007803F7">
        <w:rPr>
          <w:rFonts w:ascii="Times New Roman" w:hAnsi="Times New Roman"/>
          <w:sz w:val="20"/>
          <w:szCs w:val="20"/>
        </w:rPr>
        <w:t>.</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(2003). Clarifying achievement goals and their impacts.</w:t>
      </w:r>
      <w:proofErr w:type="gramEnd"/>
      <w:r w:rsidRPr="007803F7">
        <w:rPr>
          <w:rFonts w:ascii="Times New Roman" w:hAnsi="Times New Roman"/>
          <w:sz w:val="20"/>
          <w:szCs w:val="20"/>
        </w:rPr>
        <w:t xml:space="preserve"> </w:t>
      </w:r>
      <w:r w:rsidRPr="007803F7">
        <w:rPr>
          <w:rFonts w:ascii="Times New Roman" w:hAnsi="Times New Roman"/>
          <w:i/>
          <w:sz w:val="20"/>
          <w:szCs w:val="20"/>
        </w:rPr>
        <w:t>Journal of Personality and Social Psychology 85 (3) 541-553.</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gramStart"/>
      <w:r w:rsidRPr="007803F7">
        <w:rPr>
          <w:rFonts w:ascii="Times New Roman" w:hAnsi="Times New Roman"/>
          <w:sz w:val="20"/>
          <w:szCs w:val="20"/>
        </w:rPr>
        <w:t xml:space="preserve">Greene, B. A., R.B. Miller, H.M. </w:t>
      </w:r>
      <w:proofErr w:type="spellStart"/>
      <w:r w:rsidRPr="007803F7">
        <w:rPr>
          <w:rFonts w:ascii="Times New Roman" w:hAnsi="Times New Roman"/>
          <w:sz w:val="20"/>
          <w:szCs w:val="20"/>
        </w:rPr>
        <w:t>Crowson</w:t>
      </w:r>
      <w:proofErr w:type="spellEnd"/>
      <w:r w:rsidRPr="007803F7">
        <w:rPr>
          <w:rFonts w:ascii="Times New Roman" w:hAnsi="Times New Roman"/>
          <w:sz w:val="20"/>
          <w:szCs w:val="20"/>
        </w:rPr>
        <w:t xml:space="preserve">, B.L. Duke and K.L. </w:t>
      </w:r>
      <w:proofErr w:type="spellStart"/>
      <w:r w:rsidRPr="007803F7">
        <w:rPr>
          <w:rFonts w:ascii="Times New Roman" w:hAnsi="Times New Roman"/>
          <w:sz w:val="20"/>
          <w:szCs w:val="20"/>
        </w:rPr>
        <w:t>Akey</w:t>
      </w:r>
      <w:proofErr w:type="spellEnd"/>
      <w:r w:rsidRPr="007803F7">
        <w:rPr>
          <w:rFonts w:ascii="Times New Roman" w:hAnsi="Times New Roman"/>
          <w:sz w:val="20"/>
          <w:szCs w:val="20"/>
        </w:rPr>
        <w:t>.</w:t>
      </w:r>
      <w:proofErr w:type="gramEnd"/>
      <w:r w:rsidRPr="007803F7">
        <w:rPr>
          <w:rFonts w:ascii="Times New Roman" w:hAnsi="Times New Roman"/>
          <w:sz w:val="20"/>
          <w:szCs w:val="20"/>
        </w:rPr>
        <w:t xml:space="preserve"> (2004). Predicting high school students’ cognitive engagement and achievement: contributions of classroom perceptions and motivation. Contemporary </w:t>
      </w:r>
      <w:r w:rsidRPr="007803F7">
        <w:rPr>
          <w:rFonts w:ascii="Times New Roman" w:hAnsi="Times New Roman"/>
          <w:i/>
          <w:sz w:val="20"/>
          <w:szCs w:val="20"/>
        </w:rPr>
        <w:t>Educational Psychology 29: 462-482.</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gramStart"/>
      <w:r w:rsidRPr="007803F7">
        <w:rPr>
          <w:rFonts w:ascii="Times New Roman" w:hAnsi="Times New Roman"/>
          <w:sz w:val="20"/>
          <w:szCs w:val="20"/>
        </w:rPr>
        <w:t>Hammer,</w:t>
      </w:r>
      <w:proofErr w:type="gramEnd"/>
      <w:r w:rsidRPr="007803F7">
        <w:rPr>
          <w:rFonts w:ascii="Times New Roman" w:hAnsi="Times New Roman"/>
          <w:sz w:val="20"/>
          <w:szCs w:val="20"/>
        </w:rPr>
        <w:t xml:space="preserve"> O., D.A.T. Harper, and P.D. Ryan. (2001). PAST: Paleontological statistics software package for education and data analysis. </w:t>
      </w:r>
      <w:proofErr w:type="spellStart"/>
      <w:r w:rsidRPr="007803F7">
        <w:rPr>
          <w:rFonts w:ascii="Times New Roman" w:hAnsi="Times New Roman"/>
          <w:i/>
          <w:sz w:val="20"/>
          <w:szCs w:val="20"/>
        </w:rPr>
        <w:t>Palaentologia</w:t>
      </w:r>
      <w:proofErr w:type="spellEnd"/>
      <w:r w:rsidRPr="007803F7">
        <w:rPr>
          <w:rFonts w:ascii="Times New Roman" w:hAnsi="Times New Roman"/>
          <w:i/>
          <w:sz w:val="20"/>
          <w:szCs w:val="20"/>
        </w:rPr>
        <w:t xml:space="preserve"> Electronica 4(1): 1-9.</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r w:rsidRPr="007803F7">
        <w:rPr>
          <w:rFonts w:ascii="Times New Roman" w:hAnsi="Times New Roman"/>
          <w:i/>
          <w:sz w:val="20"/>
          <w:szCs w:val="20"/>
        </w:rPr>
        <w:t xml:space="preserve"> </w:t>
      </w: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proofErr w:type="gramStart"/>
      <w:r w:rsidRPr="007803F7">
        <w:rPr>
          <w:rFonts w:ascii="Times New Roman" w:hAnsi="Times New Roman"/>
          <w:sz w:val="20"/>
          <w:szCs w:val="20"/>
        </w:rPr>
        <w:t>Harackiewicz</w:t>
      </w:r>
      <w:proofErr w:type="spellEnd"/>
      <w:r w:rsidRPr="007803F7">
        <w:rPr>
          <w:rFonts w:ascii="Times New Roman" w:hAnsi="Times New Roman"/>
          <w:sz w:val="20"/>
          <w:szCs w:val="20"/>
        </w:rPr>
        <w:t xml:space="preserve">, J.M., K.E. Barron, J.M. </w:t>
      </w:r>
      <w:proofErr w:type="spellStart"/>
      <w:r w:rsidRPr="007803F7">
        <w:rPr>
          <w:rFonts w:ascii="Times New Roman" w:hAnsi="Times New Roman"/>
          <w:sz w:val="20"/>
          <w:szCs w:val="20"/>
        </w:rPr>
        <w:t>Tauer</w:t>
      </w:r>
      <w:proofErr w:type="spellEnd"/>
      <w:r w:rsidRPr="007803F7">
        <w:rPr>
          <w:rFonts w:ascii="Times New Roman" w:hAnsi="Times New Roman"/>
          <w:sz w:val="20"/>
          <w:szCs w:val="20"/>
        </w:rPr>
        <w:t>, S.M. Carter and A.J. Elliot.</w:t>
      </w:r>
      <w:proofErr w:type="gramEnd"/>
      <w:r w:rsidRPr="007803F7">
        <w:rPr>
          <w:rFonts w:ascii="Times New Roman" w:hAnsi="Times New Roman"/>
          <w:sz w:val="20"/>
          <w:szCs w:val="20"/>
        </w:rPr>
        <w:t xml:space="preserve"> (2000). Short-term </w:t>
      </w:r>
      <w:r w:rsidRPr="007803F7">
        <w:rPr>
          <w:rFonts w:ascii="Times New Roman" w:hAnsi="Times New Roman"/>
          <w:sz w:val="20"/>
          <w:szCs w:val="20"/>
        </w:rPr>
        <w:lastRenderedPageBreak/>
        <w:t xml:space="preserve">and long-term consequences of achievement goals: predicting interest and performance over time. </w:t>
      </w:r>
      <w:r w:rsidRPr="007803F7">
        <w:rPr>
          <w:rFonts w:ascii="Times New Roman" w:hAnsi="Times New Roman"/>
          <w:i/>
          <w:sz w:val="20"/>
          <w:szCs w:val="20"/>
        </w:rPr>
        <w:t>Journal of Educational Psychology 92 (2): 316-330.</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roofErr w:type="gramStart"/>
      <w:r w:rsidRPr="007803F7">
        <w:rPr>
          <w:rFonts w:ascii="Times New Roman" w:hAnsi="Times New Roman"/>
          <w:sz w:val="20"/>
          <w:szCs w:val="20"/>
        </w:rPr>
        <w:t>Lau, K. and C.K.J. Lee.</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(2006, November).</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Perception of classroom environment, achievement goals, and strategy use among Hong Kong students.</w:t>
      </w:r>
      <w:proofErr w:type="gramEnd"/>
      <w:r w:rsidRPr="007803F7">
        <w:rPr>
          <w:rFonts w:ascii="Times New Roman" w:hAnsi="Times New Roman"/>
          <w:sz w:val="20"/>
          <w:szCs w:val="20"/>
        </w:rPr>
        <w:t xml:space="preserve"> Paper presented at the APERA Conference, Hong Kong.</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r w:rsidRPr="007803F7">
        <w:rPr>
          <w:rFonts w:ascii="Times New Roman" w:hAnsi="Times New Roman"/>
          <w:sz w:val="20"/>
          <w:szCs w:val="20"/>
        </w:rPr>
        <w:t>Linnenbrink</w:t>
      </w:r>
      <w:proofErr w:type="spellEnd"/>
      <w:r w:rsidRPr="007803F7">
        <w:rPr>
          <w:rFonts w:ascii="Times New Roman" w:hAnsi="Times New Roman"/>
          <w:sz w:val="20"/>
          <w:szCs w:val="20"/>
        </w:rPr>
        <w:t xml:space="preserve">, E.A. (2005). The dilemma of performance-approach goals: the use of multiple goal contexts to promote students’ motivation and learning. </w:t>
      </w:r>
      <w:r w:rsidRPr="007803F7">
        <w:rPr>
          <w:rFonts w:ascii="Times New Roman" w:hAnsi="Times New Roman"/>
          <w:i/>
          <w:sz w:val="20"/>
          <w:szCs w:val="20"/>
        </w:rPr>
        <w:t>Journal of Educational Psychology 97 (2): 197-213.</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r w:rsidRPr="007803F7">
        <w:rPr>
          <w:rFonts w:ascii="Times New Roman" w:hAnsi="Times New Roman"/>
          <w:sz w:val="20"/>
          <w:szCs w:val="20"/>
        </w:rPr>
        <w:t xml:space="preserve">Martin, M.O., I.V.S. Mullis, E.J. Gonzalez, S.J. </w:t>
      </w:r>
      <w:proofErr w:type="spellStart"/>
      <w:r w:rsidRPr="007803F7">
        <w:rPr>
          <w:rFonts w:ascii="Times New Roman" w:hAnsi="Times New Roman"/>
          <w:sz w:val="20"/>
          <w:szCs w:val="20"/>
        </w:rPr>
        <w:t>Chrostowski</w:t>
      </w:r>
      <w:proofErr w:type="spellEnd"/>
      <w:r w:rsidRPr="007803F7">
        <w:rPr>
          <w:rFonts w:ascii="Times New Roman" w:hAnsi="Times New Roman"/>
          <w:sz w:val="20"/>
          <w:szCs w:val="20"/>
        </w:rPr>
        <w:t xml:space="preserve">. </w:t>
      </w:r>
      <w:proofErr w:type="gramStart"/>
      <w:r w:rsidRPr="007803F7">
        <w:rPr>
          <w:rFonts w:ascii="Times New Roman" w:hAnsi="Times New Roman"/>
          <w:sz w:val="20"/>
          <w:szCs w:val="20"/>
        </w:rPr>
        <w:t>(2004). TIMSS 2003 International Science Report.</w:t>
      </w:r>
      <w:proofErr w:type="gramEnd"/>
      <w:r w:rsidRPr="007803F7">
        <w:rPr>
          <w:rFonts w:ascii="Times New Roman" w:hAnsi="Times New Roman"/>
          <w:sz w:val="20"/>
          <w:szCs w:val="20"/>
        </w:rPr>
        <w:t xml:space="preserve"> Boston: TIMSS &amp; PIRLS International Study Center.</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r w:rsidRPr="007803F7">
        <w:rPr>
          <w:rFonts w:ascii="Times New Roman" w:hAnsi="Times New Roman"/>
          <w:sz w:val="20"/>
          <w:szCs w:val="20"/>
        </w:rPr>
        <w:t>Mattern</w:t>
      </w:r>
      <w:proofErr w:type="spellEnd"/>
      <w:r w:rsidRPr="007803F7">
        <w:rPr>
          <w:rFonts w:ascii="Times New Roman" w:hAnsi="Times New Roman"/>
          <w:sz w:val="20"/>
          <w:szCs w:val="20"/>
        </w:rPr>
        <w:t xml:space="preserve">, R.A. (2005). </w:t>
      </w:r>
      <w:proofErr w:type="gramStart"/>
      <w:r w:rsidRPr="007803F7">
        <w:rPr>
          <w:rFonts w:ascii="Times New Roman" w:hAnsi="Times New Roman"/>
          <w:sz w:val="20"/>
          <w:szCs w:val="20"/>
        </w:rPr>
        <w:t>College students’ goal orientations and achievement.</w:t>
      </w:r>
      <w:proofErr w:type="gramEnd"/>
      <w:r w:rsidRPr="007803F7">
        <w:rPr>
          <w:rFonts w:ascii="Times New Roman" w:hAnsi="Times New Roman"/>
          <w:sz w:val="20"/>
          <w:szCs w:val="20"/>
        </w:rPr>
        <w:t xml:space="preserve"> International </w:t>
      </w:r>
      <w:r w:rsidRPr="007803F7">
        <w:rPr>
          <w:rFonts w:ascii="Times New Roman" w:hAnsi="Times New Roman"/>
          <w:i/>
          <w:sz w:val="20"/>
          <w:szCs w:val="20"/>
        </w:rPr>
        <w:t>Journal of Teaching and Learning in Higher Education 17 (1): 27-32.</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gramStart"/>
      <w:r w:rsidRPr="007803F7">
        <w:rPr>
          <w:rFonts w:ascii="Times New Roman" w:hAnsi="Times New Roman"/>
          <w:sz w:val="20"/>
          <w:szCs w:val="20"/>
        </w:rPr>
        <w:t>Miller, R.B. and S. J. Brickman.</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(2004). A model of future-oriented motivation and self-regulation.</w:t>
      </w:r>
      <w:proofErr w:type="gramEnd"/>
      <w:r w:rsidRPr="007803F7">
        <w:rPr>
          <w:rFonts w:ascii="Times New Roman" w:hAnsi="Times New Roman"/>
          <w:sz w:val="20"/>
          <w:szCs w:val="20"/>
        </w:rPr>
        <w:t xml:space="preserve"> </w:t>
      </w:r>
      <w:r w:rsidRPr="007803F7">
        <w:rPr>
          <w:rFonts w:ascii="Times New Roman" w:hAnsi="Times New Roman"/>
          <w:i/>
          <w:sz w:val="20"/>
          <w:szCs w:val="20"/>
        </w:rPr>
        <w:t>Educational Psychology Review 16(1): 9- 33.</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roofErr w:type="gramStart"/>
      <w:r w:rsidRPr="007803F7">
        <w:rPr>
          <w:rFonts w:ascii="Times New Roman" w:hAnsi="Times New Roman"/>
          <w:sz w:val="20"/>
          <w:szCs w:val="20"/>
        </w:rPr>
        <w:t>Moorhead, G. and R.W. Griffin.</w:t>
      </w:r>
      <w:proofErr w:type="gramEnd"/>
      <w:r w:rsidRPr="007803F7">
        <w:rPr>
          <w:rFonts w:ascii="Times New Roman" w:hAnsi="Times New Roman"/>
          <w:sz w:val="20"/>
          <w:szCs w:val="20"/>
        </w:rPr>
        <w:t xml:space="preserve"> (1998). Organizational Behavior: Managing People and Organization (5</w:t>
      </w:r>
      <w:r w:rsidRPr="007803F7">
        <w:rPr>
          <w:rFonts w:ascii="Times New Roman" w:hAnsi="Times New Roman"/>
          <w:sz w:val="20"/>
          <w:szCs w:val="20"/>
          <w:vertAlign w:val="superscript"/>
        </w:rPr>
        <w:t>th</w:t>
      </w:r>
      <w:r w:rsidRPr="007803F7">
        <w:rPr>
          <w:rFonts w:ascii="Times New Roman" w:hAnsi="Times New Roman"/>
          <w:sz w:val="20"/>
          <w:szCs w:val="20"/>
        </w:rPr>
        <w:t xml:space="preserve"> </w:t>
      </w:r>
      <w:proofErr w:type="gramStart"/>
      <w:r w:rsidRPr="007803F7">
        <w:rPr>
          <w:rFonts w:ascii="Times New Roman" w:hAnsi="Times New Roman"/>
          <w:sz w:val="20"/>
          <w:szCs w:val="20"/>
        </w:rPr>
        <w:t>ed</w:t>
      </w:r>
      <w:proofErr w:type="gramEnd"/>
      <w:r w:rsidRPr="007803F7">
        <w:rPr>
          <w:rFonts w:ascii="Times New Roman" w:hAnsi="Times New Roman"/>
          <w:sz w:val="20"/>
          <w:szCs w:val="20"/>
        </w:rPr>
        <w:t xml:space="preserve">.). Boston, NY: </w:t>
      </w:r>
      <w:proofErr w:type="spellStart"/>
      <w:r w:rsidRPr="007803F7">
        <w:rPr>
          <w:rFonts w:ascii="Times New Roman" w:hAnsi="Times New Roman"/>
          <w:sz w:val="20"/>
          <w:szCs w:val="20"/>
        </w:rPr>
        <w:t>Houghtom</w:t>
      </w:r>
      <w:proofErr w:type="spellEnd"/>
      <w:r w:rsidRPr="007803F7">
        <w:rPr>
          <w:rFonts w:ascii="Times New Roman" w:hAnsi="Times New Roman"/>
          <w:sz w:val="20"/>
          <w:szCs w:val="20"/>
        </w:rPr>
        <w:t xml:space="preserve"> Mifflin Company.</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roofErr w:type="gramStart"/>
      <w:r w:rsidRPr="007803F7">
        <w:rPr>
          <w:rFonts w:ascii="Times New Roman" w:hAnsi="Times New Roman"/>
          <w:sz w:val="20"/>
          <w:szCs w:val="20"/>
        </w:rPr>
        <w:t>National Education Testing and Research Center.</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(2013). NAT Overview and 2012 Test Results.</w:t>
      </w:r>
      <w:proofErr w:type="gramEnd"/>
      <w:r w:rsidRPr="007803F7">
        <w:rPr>
          <w:rFonts w:ascii="Times New Roman" w:hAnsi="Times New Roman"/>
          <w:sz w:val="20"/>
          <w:szCs w:val="20"/>
        </w:rPr>
        <w:t xml:space="preserve"> Philippines: NETRC.</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r w:rsidRPr="007803F7">
        <w:rPr>
          <w:rFonts w:ascii="Times New Roman" w:hAnsi="Times New Roman"/>
          <w:sz w:val="20"/>
          <w:szCs w:val="20"/>
        </w:rPr>
        <w:t>Pintrich</w:t>
      </w:r>
      <w:proofErr w:type="spellEnd"/>
      <w:r w:rsidRPr="007803F7">
        <w:rPr>
          <w:rFonts w:ascii="Times New Roman" w:hAnsi="Times New Roman"/>
          <w:sz w:val="20"/>
          <w:szCs w:val="20"/>
        </w:rPr>
        <w:t xml:space="preserve">, P.R. (2000). </w:t>
      </w:r>
      <w:proofErr w:type="gramStart"/>
      <w:r w:rsidRPr="007803F7">
        <w:rPr>
          <w:rFonts w:ascii="Times New Roman" w:hAnsi="Times New Roman"/>
          <w:sz w:val="20"/>
          <w:szCs w:val="20"/>
        </w:rPr>
        <w:t>An achievement goal theory perspective on issues in motivation terminology, theory and research.</w:t>
      </w:r>
      <w:proofErr w:type="gramEnd"/>
      <w:r w:rsidRPr="007803F7">
        <w:rPr>
          <w:rFonts w:ascii="Times New Roman" w:hAnsi="Times New Roman"/>
          <w:sz w:val="20"/>
          <w:szCs w:val="20"/>
        </w:rPr>
        <w:t xml:space="preserve"> </w:t>
      </w:r>
      <w:r w:rsidRPr="007803F7">
        <w:rPr>
          <w:rFonts w:ascii="Times New Roman" w:hAnsi="Times New Roman"/>
          <w:i/>
          <w:sz w:val="20"/>
          <w:szCs w:val="20"/>
        </w:rPr>
        <w:t>Contemporary Educational Psychology 25: 92-104.</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roofErr w:type="spellStart"/>
      <w:proofErr w:type="gramStart"/>
      <w:r w:rsidRPr="007803F7">
        <w:rPr>
          <w:rFonts w:ascii="Times New Roman" w:hAnsi="Times New Roman"/>
          <w:sz w:val="20"/>
          <w:szCs w:val="20"/>
        </w:rPr>
        <w:t>Schermerhorn</w:t>
      </w:r>
      <w:proofErr w:type="spellEnd"/>
      <w:r w:rsidRPr="007803F7">
        <w:rPr>
          <w:rFonts w:ascii="Times New Roman" w:hAnsi="Times New Roman"/>
          <w:sz w:val="20"/>
          <w:szCs w:val="20"/>
        </w:rPr>
        <w:t xml:space="preserve">, J.R., J.G. Hunt, R.N. Osborn, and M. </w:t>
      </w:r>
      <w:proofErr w:type="spellStart"/>
      <w:r w:rsidRPr="007803F7">
        <w:rPr>
          <w:rFonts w:ascii="Times New Roman" w:hAnsi="Times New Roman"/>
          <w:sz w:val="20"/>
          <w:szCs w:val="20"/>
        </w:rPr>
        <w:t>Uhl</w:t>
      </w:r>
      <w:proofErr w:type="spellEnd"/>
      <w:r w:rsidRPr="007803F7">
        <w:rPr>
          <w:rFonts w:ascii="Times New Roman" w:hAnsi="Times New Roman"/>
          <w:sz w:val="20"/>
          <w:szCs w:val="20"/>
        </w:rPr>
        <w:t>-Bien.</w:t>
      </w:r>
      <w:proofErr w:type="gramEnd"/>
      <w:r w:rsidRPr="007803F7">
        <w:rPr>
          <w:rFonts w:ascii="Times New Roman" w:hAnsi="Times New Roman"/>
          <w:sz w:val="20"/>
          <w:szCs w:val="20"/>
        </w:rPr>
        <w:t xml:space="preserve"> (2010). Organizational Behavior (11</w:t>
      </w:r>
      <w:r w:rsidRPr="007803F7">
        <w:rPr>
          <w:rFonts w:ascii="Times New Roman" w:hAnsi="Times New Roman"/>
          <w:sz w:val="20"/>
          <w:szCs w:val="20"/>
          <w:vertAlign w:val="superscript"/>
        </w:rPr>
        <w:t>th</w:t>
      </w:r>
      <w:r w:rsidRPr="007803F7">
        <w:rPr>
          <w:rFonts w:ascii="Times New Roman" w:hAnsi="Times New Roman"/>
          <w:sz w:val="20"/>
          <w:szCs w:val="20"/>
        </w:rPr>
        <w:t xml:space="preserve"> </w:t>
      </w:r>
      <w:proofErr w:type="gramStart"/>
      <w:r w:rsidRPr="007803F7">
        <w:rPr>
          <w:rFonts w:ascii="Times New Roman" w:hAnsi="Times New Roman"/>
          <w:sz w:val="20"/>
          <w:szCs w:val="20"/>
        </w:rPr>
        <w:t>ed</w:t>
      </w:r>
      <w:proofErr w:type="gramEnd"/>
      <w:r w:rsidRPr="007803F7">
        <w:rPr>
          <w:rFonts w:ascii="Times New Roman" w:hAnsi="Times New Roman"/>
          <w:sz w:val="20"/>
          <w:szCs w:val="20"/>
        </w:rPr>
        <w:t>.). Hoboken, NJ: John Wiley and Sons, Inc.</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proofErr w:type="gramStart"/>
      <w:r w:rsidRPr="007803F7">
        <w:rPr>
          <w:rFonts w:ascii="Times New Roman" w:hAnsi="Times New Roman"/>
          <w:sz w:val="20"/>
          <w:szCs w:val="20"/>
        </w:rPr>
        <w:t>Sungur</w:t>
      </w:r>
      <w:proofErr w:type="spellEnd"/>
      <w:r w:rsidRPr="007803F7">
        <w:rPr>
          <w:rFonts w:ascii="Times New Roman" w:hAnsi="Times New Roman"/>
          <w:sz w:val="20"/>
          <w:szCs w:val="20"/>
        </w:rPr>
        <w:t xml:space="preserve">, S. and B. </w:t>
      </w:r>
      <w:proofErr w:type="spellStart"/>
      <w:r w:rsidRPr="007803F7">
        <w:rPr>
          <w:rFonts w:ascii="Times New Roman" w:hAnsi="Times New Roman"/>
          <w:sz w:val="20"/>
          <w:szCs w:val="20"/>
        </w:rPr>
        <w:t>Senler</w:t>
      </w:r>
      <w:proofErr w:type="spellEnd"/>
      <w:r w:rsidRPr="007803F7">
        <w:rPr>
          <w:rFonts w:ascii="Times New Roman" w:hAnsi="Times New Roman"/>
          <w:sz w:val="20"/>
          <w:szCs w:val="20"/>
        </w:rPr>
        <w:t>.</w:t>
      </w:r>
      <w:proofErr w:type="gramEnd"/>
      <w:r w:rsidRPr="007803F7">
        <w:rPr>
          <w:rFonts w:ascii="Times New Roman" w:hAnsi="Times New Roman"/>
          <w:sz w:val="20"/>
          <w:szCs w:val="20"/>
        </w:rPr>
        <w:t xml:space="preserve"> </w:t>
      </w:r>
      <w:proofErr w:type="gramStart"/>
      <w:r w:rsidRPr="007803F7">
        <w:rPr>
          <w:rFonts w:ascii="Times New Roman" w:hAnsi="Times New Roman"/>
          <w:sz w:val="20"/>
          <w:szCs w:val="20"/>
        </w:rPr>
        <w:t xml:space="preserve">(2010). Students’ achievement goals in relation to academic motivation, competence expectancy, and </w:t>
      </w:r>
      <w:r w:rsidRPr="007803F7">
        <w:rPr>
          <w:rFonts w:ascii="Times New Roman" w:hAnsi="Times New Roman"/>
          <w:sz w:val="20"/>
          <w:szCs w:val="20"/>
        </w:rPr>
        <w:lastRenderedPageBreak/>
        <w:t>classroom environment perceptions.</w:t>
      </w:r>
      <w:proofErr w:type="gramEnd"/>
      <w:r w:rsidRPr="007803F7">
        <w:rPr>
          <w:rFonts w:ascii="Times New Roman" w:hAnsi="Times New Roman"/>
          <w:sz w:val="20"/>
          <w:szCs w:val="20"/>
        </w:rPr>
        <w:t xml:space="preserve"> </w:t>
      </w:r>
      <w:r w:rsidRPr="007803F7">
        <w:rPr>
          <w:rFonts w:ascii="Times New Roman" w:hAnsi="Times New Roman"/>
          <w:i/>
          <w:sz w:val="20"/>
          <w:szCs w:val="20"/>
        </w:rPr>
        <w:t>Educational Research and Evaluation 16(4): 303-324.</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roofErr w:type="spellStart"/>
      <w:proofErr w:type="gramStart"/>
      <w:r w:rsidRPr="007803F7">
        <w:rPr>
          <w:rFonts w:ascii="Times New Roman" w:hAnsi="Times New Roman"/>
          <w:sz w:val="20"/>
          <w:szCs w:val="20"/>
        </w:rPr>
        <w:t>Tapola</w:t>
      </w:r>
      <w:proofErr w:type="spellEnd"/>
      <w:r w:rsidRPr="007803F7">
        <w:rPr>
          <w:rFonts w:ascii="Times New Roman" w:hAnsi="Times New Roman"/>
          <w:sz w:val="20"/>
          <w:szCs w:val="20"/>
        </w:rPr>
        <w:t xml:space="preserve">, A. and M. </w:t>
      </w:r>
      <w:proofErr w:type="spellStart"/>
      <w:r w:rsidRPr="007803F7">
        <w:rPr>
          <w:rFonts w:ascii="Times New Roman" w:hAnsi="Times New Roman"/>
          <w:sz w:val="20"/>
          <w:szCs w:val="20"/>
        </w:rPr>
        <w:t>Niemivirta</w:t>
      </w:r>
      <w:proofErr w:type="spellEnd"/>
      <w:r w:rsidRPr="007803F7">
        <w:rPr>
          <w:rFonts w:ascii="Times New Roman" w:hAnsi="Times New Roman"/>
          <w:sz w:val="20"/>
          <w:szCs w:val="20"/>
        </w:rPr>
        <w:t>.</w:t>
      </w:r>
      <w:proofErr w:type="gramEnd"/>
      <w:r w:rsidRPr="007803F7">
        <w:rPr>
          <w:rFonts w:ascii="Times New Roman" w:hAnsi="Times New Roman"/>
          <w:sz w:val="20"/>
          <w:szCs w:val="20"/>
        </w:rPr>
        <w:t xml:space="preserve"> (2008). </w:t>
      </w:r>
      <w:proofErr w:type="gramStart"/>
      <w:r w:rsidRPr="007803F7">
        <w:rPr>
          <w:rFonts w:ascii="Times New Roman" w:hAnsi="Times New Roman"/>
          <w:sz w:val="20"/>
          <w:szCs w:val="20"/>
        </w:rPr>
        <w:t>The</w:t>
      </w:r>
      <w:proofErr w:type="gramEnd"/>
      <w:r w:rsidRPr="007803F7">
        <w:rPr>
          <w:rFonts w:ascii="Times New Roman" w:hAnsi="Times New Roman"/>
          <w:sz w:val="20"/>
          <w:szCs w:val="20"/>
        </w:rPr>
        <w:t xml:space="preserve"> role of achievement goal orientations in students’ perceptions of and preferences for classroom environment. </w:t>
      </w:r>
      <w:r w:rsidRPr="007803F7">
        <w:rPr>
          <w:rFonts w:ascii="Times New Roman" w:hAnsi="Times New Roman"/>
          <w:i/>
          <w:sz w:val="20"/>
          <w:szCs w:val="20"/>
        </w:rPr>
        <w:t>British Journal of Educational Psychology 78: 291-312.</w:t>
      </w: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p>
    <w:p w:rsidR="007803F7" w:rsidRPr="007803F7" w:rsidRDefault="007803F7" w:rsidP="007803F7">
      <w:pPr>
        <w:autoSpaceDE w:val="0"/>
        <w:autoSpaceDN w:val="0"/>
        <w:adjustRightInd w:val="0"/>
        <w:spacing w:after="0" w:line="240" w:lineRule="auto"/>
        <w:ind w:left="720" w:hanging="720"/>
        <w:jc w:val="both"/>
        <w:rPr>
          <w:rFonts w:ascii="Times New Roman" w:hAnsi="Times New Roman"/>
          <w:i/>
          <w:sz w:val="20"/>
          <w:szCs w:val="20"/>
        </w:rPr>
      </w:pPr>
      <w:r w:rsidRPr="007803F7">
        <w:rPr>
          <w:rFonts w:ascii="Times New Roman" w:hAnsi="Times New Roman"/>
          <w:sz w:val="20"/>
          <w:szCs w:val="20"/>
        </w:rPr>
        <w:t xml:space="preserve">Wolters, C.A. (2004). Advancing achievement goal theory: using goal structures and goal orientations to predict students’ motivation, cognition, and achievement. Journal of </w:t>
      </w:r>
      <w:r w:rsidRPr="007803F7">
        <w:rPr>
          <w:rFonts w:ascii="Times New Roman" w:hAnsi="Times New Roman"/>
          <w:i/>
          <w:sz w:val="20"/>
          <w:szCs w:val="20"/>
        </w:rPr>
        <w:t>Educational Psychology 96 (2): 236-250.</w:t>
      </w:r>
    </w:p>
    <w:p w:rsidR="007803F7" w:rsidRPr="007803F7" w:rsidRDefault="007803F7" w:rsidP="007803F7">
      <w:pPr>
        <w:spacing w:after="0" w:line="240" w:lineRule="auto"/>
        <w:rPr>
          <w:rFonts w:ascii="Times New Roman" w:hAnsi="Times New Roman"/>
          <w:sz w:val="20"/>
          <w:szCs w:val="20"/>
        </w:rPr>
      </w:pPr>
    </w:p>
    <w:sectPr w:rsidR="007803F7" w:rsidRPr="007803F7" w:rsidSect="007803F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44" w:rsidRDefault="00CD6344" w:rsidP="007803F7">
      <w:pPr>
        <w:spacing w:after="0" w:line="240" w:lineRule="auto"/>
      </w:pPr>
      <w:r>
        <w:separator/>
      </w:r>
    </w:p>
  </w:endnote>
  <w:endnote w:type="continuationSeparator" w:id="0">
    <w:p w:rsidR="00CD6344" w:rsidRDefault="00CD6344" w:rsidP="0078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37932115"/>
      <w:docPartObj>
        <w:docPartGallery w:val="Page Numbers (Bottom of Page)"/>
        <w:docPartUnique/>
      </w:docPartObj>
    </w:sdtPr>
    <w:sdtEndPr>
      <w:rPr>
        <w:noProof/>
      </w:rPr>
    </w:sdtEndPr>
    <w:sdtContent>
      <w:p w:rsidR="007803F7" w:rsidRPr="007803F7" w:rsidRDefault="007803F7">
        <w:pPr>
          <w:pStyle w:val="Footer"/>
          <w:jc w:val="right"/>
          <w:rPr>
            <w:rFonts w:ascii="Times New Roman" w:hAnsi="Times New Roman" w:cs="Times New Roman"/>
            <w:sz w:val="20"/>
            <w:szCs w:val="20"/>
          </w:rPr>
        </w:pPr>
        <w:r w:rsidRPr="007803F7">
          <w:rPr>
            <w:rFonts w:ascii="Times New Roman" w:hAnsi="Times New Roman" w:cs="Times New Roman"/>
            <w:sz w:val="20"/>
            <w:szCs w:val="20"/>
          </w:rPr>
          <w:fldChar w:fldCharType="begin"/>
        </w:r>
        <w:r w:rsidRPr="007803F7">
          <w:rPr>
            <w:rFonts w:ascii="Times New Roman" w:hAnsi="Times New Roman" w:cs="Times New Roman"/>
            <w:sz w:val="20"/>
            <w:szCs w:val="20"/>
          </w:rPr>
          <w:instrText xml:space="preserve"> PAGE   \* MERGEFORMAT </w:instrText>
        </w:r>
        <w:r w:rsidRPr="007803F7">
          <w:rPr>
            <w:rFonts w:ascii="Times New Roman" w:hAnsi="Times New Roman" w:cs="Times New Roman"/>
            <w:sz w:val="20"/>
            <w:szCs w:val="20"/>
          </w:rPr>
          <w:fldChar w:fldCharType="separate"/>
        </w:r>
        <w:r>
          <w:rPr>
            <w:rFonts w:ascii="Times New Roman" w:hAnsi="Times New Roman" w:cs="Times New Roman"/>
            <w:noProof/>
            <w:sz w:val="20"/>
            <w:szCs w:val="20"/>
          </w:rPr>
          <w:t>1</w:t>
        </w:r>
        <w:r w:rsidRPr="007803F7">
          <w:rPr>
            <w:rFonts w:ascii="Times New Roman" w:hAnsi="Times New Roman" w:cs="Times New Roman"/>
            <w:noProof/>
            <w:sz w:val="20"/>
            <w:szCs w:val="20"/>
          </w:rPr>
          <w:fldChar w:fldCharType="end"/>
        </w:r>
      </w:p>
    </w:sdtContent>
  </w:sdt>
  <w:p w:rsidR="007803F7" w:rsidRPr="007803F7" w:rsidRDefault="007803F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44" w:rsidRDefault="00CD6344" w:rsidP="007803F7">
      <w:pPr>
        <w:spacing w:after="0" w:line="240" w:lineRule="auto"/>
      </w:pPr>
      <w:r>
        <w:separator/>
      </w:r>
    </w:p>
  </w:footnote>
  <w:footnote w:type="continuationSeparator" w:id="0">
    <w:p w:rsidR="00CD6344" w:rsidRDefault="00CD6344" w:rsidP="00780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F7" w:rsidRPr="007803F7" w:rsidRDefault="007803F7" w:rsidP="007803F7">
    <w:pPr>
      <w:pStyle w:val="Header"/>
      <w:jc w:val="right"/>
      <w:rPr>
        <w:rFonts w:ascii="Century Gothic" w:hAnsi="Century Gothic" w:cs="Aharoni"/>
        <w:b/>
        <w:color w:val="17365D" w:themeColor="text2" w:themeShade="BF"/>
        <w:sz w:val="20"/>
        <w:szCs w:val="20"/>
      </w:rPr>
    </w:pPr>
    <w:r w:rsidRPr="007803F7">
      <w:rPr>
        <w:rFonts w:ascii="Century Gothic" w:hAnsi="Century Gothic" w:cs="Aharoni"/>
        <w:b/>
        <w:noProof/>
        <w:color w:val="17365D" w:themeColor="text2" w:themeShade="BF"/>
        <w:sz w:val="28"/>
        <w:szCs w:val="20"/>
        <w:lang w:eastAsia="en-PH"/>
      </w:rPr>
      <mc:AlternateContent>
        <mc:Choice Requires="wps">
          <w:drawing>
            <wp:anchor distT="0" distB="0" distL="114300" distR="114300" simplePos="0" relativeHeight="251659264" behindDoc="0" locked="0" layoutInCell="1" allowOverlap="1" wp14:anchorId="4CA68111" wp14:editId="2AB23741">
              <wp:simplePos x="0" y="0"/>
              <wp:positionH relativeFrom="column">
                <wp:posOffset>4914900</wp:posOffset>
              </wp:positionH>
              <wp:positionV relativeFrom="paragraph">
                <wp:posOffset>-152400</wp:posOffset>
              </wp:positionV>
              <wp:extent cx="125730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573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3F7" w:rsidRPr="007803F7" w:rsidRDefault="007803F7">
                          <w:pPr>
                            <w:rPr>
                              <w:b/>
                              <w:color w:val="17365D" w:themeColor="text2" w:themeShade="BF"/>
                            </w:rPr>
                          </w:pPr>
                          <w:r w:rsidRPr="007803F7">
                            <w:rPr>
                              <w:rFonts w:ascii="Century Gothic" w:hAnsi="Century Gothic" w:cs="Aharoni"/>
                              <w:b/>
                              <w:color w:val="17365D" w:themeColor="text2" w:themeShade="BF"/>
                              <w:sz w:val="28"/>
                              <w:szCs w:val="20"/>
                            </w:rPr>
                            <w:t>S</w:t>
                          </w:r>
                          <w:r w:rsidRPr="007803F7">
                            <w:rPr>
                              <w:rFonts w:ascii="Century Gothic" w:hAnsi="Century Gothic" w:cs="Aharoni"/>
                              <w:b/>
                              <w:color w:val="17365D" w:themeColor="text2" w:themeShade="BF"/>
                              <w:sz w:val="20"/>
                              <w:szCs w:val="20"/>
                            </w:rPr>
                            <w:t>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7pt;margin-top:-12pt;width:99pt;height: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" filled="f" stroked="f" strokeweight=".5pt">
              <v:textbox>
                <w:txbxContent>
                  <w:p w:rsidR="007803F7" w:rsidRPr="007803F7" w:rsidRDefault="007803F7">
                    <w:pPr>
                      <w:rPr>
                        <w:b/>
                        <w:color w:val="17365D" w:themeColor="text2" w:themeShade="BF"/>
                      </w:rPr>
                    </w:pPr>
                    <w:r w:rsidRPr="007803F7">
                      <w:rPr>
                        <w:rFonts w:ascii="Century Gothic" w:hAnsi="Century Gothic" w:cs="Aharoni"/>
                        <w:b/>
                        <w:color w:val="17365D" w:themeColor="text2" w:themeShade="BF"/>
                        <w:sz w:val="28"/>
                        <w:szCs w:val="20"/>
                      </w:rPr>
                      <w:t>S</w:t>
                    </w:r>
                    <w:r w:rsidRPr="007803F7">
                      <w:rPr>
                        <w:rFonts w:ascii="Century Gothic" w:hAnsi="Century Gothic" w:cs="Aharoni"/>
                        <w:b/>
                        <w:color w:val="17365D" w:themeColor="text2" w:themeShade="BF"/>
                        <w:sz w:val="20"/>
                        <w:szCs w:val="20"/>
                      </w:rPr>
                      <w:t>hort</w:t>
                    </w:r>
                  </w:p>
                </w:txbxContent>
              </v:textbox>
            </v:shape>
          </w:pict>
        </mc:Fallback>
      </mc:AlternateContent>
    </w:r>
    <w:r w:rsidRPr="007803F7">
      <w:rPr>
        <w:rFonts w:ascii="Century Gothic" w:hAnsi="Century Gothic" w:cs="Aharoni"/>
        <w:b/>
        <w:color w:val="17365D" w:themeColor="text2" w:themeShade="BF"/>
        <w:sz w:val="28"/>
        <w:szCs w:val="20"/>
      </w:rPr>
      <w:t>C</w:t>
    </w:r>
    <w:r w:rsidRPr="007803F7">
      <w:rPr>
        <w:rFonts w:ascii="Century Gothic" w:hAnsi="Century Gothic" w:cs="Aharoni"/>
        <w:b/>
        <w:color w:val="17365D" w:themeColor="text2" w:themeShade="BF"/>
        <w:sz w:val="20"/>
        <w:szCs w:val="20"/>
      </w:rPr>
      <w:t>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F7"/>
    <w:rsid w:val="007803F7"/>
    <w:rsid w:val="00841661"/>
    <w:rsid w:val="00CD6344"/>
    <w:rsid w:val="00E862D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F7"/>
    <w:pPr>
      <w:tabs>
        <w:tab w:val="center" w:pos="4680"/>
        <w:tab w:val="right" w:pos="9360"/>
      </w:tabs>
      <w:spacing w:after="0" w:line="240" w:lineRule="auto"/>
    </w:pPr>
    <w:rPr>
      <w:rFonts w:asciiTheme="minorHAnsi" w:eastAsiaTheme="minorHAnsi" w:hAnsiTheme="minorHAnsi" w:cstheme="minorBidi"/>
      <w:lang w:val="en-PH"/>
    </w:rPr>
  </w:style>
  <w:style w:type="character" w:customStyle="1" w:styleId="HeaderChar">
    <w:name w:val="Header Char"/>
    <w:basedOn w:val="DefaultParagraphFont"/>
    <w:link w:val="Header"/>
    <w:uiPriority w:val="99"/>
    <w:rsid w:val="007803F7"/>
  </w:style>
  <w:style w:type="paragraph" w:styleId="Footer">
    <w:name w:val="footer"/>
    <w:basedOn w:val="Normal"/>
    <w:link w:val="FooterChar"/>
    <w:uiPriority w:val="99"/>
    <w:unhideWhenUsed/>
    <w:rsid w:val="007803F7"/>
    <w:pPr>
      <w:tabs>
        <w:tab w:val="center" w:pos="4680"/>
        <w:tab w:val="right" w:pos="9360"/>
      </w:tabs>
      <w:spacing w:after="0" w:line="240" w:lineRule="auto"/>
    </w:pPr>
    <w:rPr>
      <w:rFonts w:asciiTheme="minorHAnsi" w:eastAsiaTheme="minorHAnsi" w:hAnsiTheme="minorHAnsi" w:cstheme="minorBidi"/>
      <w:lang w:val="en-PH"/>
    </w:rPr>
  </w:style>
  <w:style w:type="character" w:customStyle="1" w:styleId="FooterChar">
    <w:name w:val="Footer Char"/>
    <w:basedOn w:val="DefaultParagraphFont"/>
    <w:link w:val="Footer"/>
    <w:uiPriority w:val="99"/>
    <w:rsid w:val="00780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F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F7"/>
    <w:pPr>
      <w:tabs>
        <w:tab w:val="center" w:pos="4680"/>
        <w:tab w:val="right" w:pos="9360"/>
      </w:tabs>
      <w:spacing w:after="0" w:line="240" w:lineRule="auto"/>
    </w:pPr>
    <w:rPr>
      <w:rFonts w:asciiTheme="minorHAnsi" w:eastAsiaTheme="minorHAnsi" w:hAnsiTheme="minorHAnsi" w:cstheme="minorBidi"/>
      <w:lang w:val="en-PH"/>
    </w:rPr>
  </w:style>
  <w:style w:type="character" w:customStyle="1" w:styleId="HeaderChar">
    <w:name w:val="Header Char"/>
    <w:basedOn w:val="DefaultParagraphFont"/>
    <w:link w:val="Header"/>
    <w:uiPriority w:val="99"/>
    <w:rsid w:val="007803F7"/>
  </w:style>
  <w:style w:type="paragraph" w:styleId="Footer">
    <w:name w:val="footer"/>
    <w:basedOn w:val="Normal"/>
    <w:link w:val="FooterChar"/>
    <w:uiPriority w:val="99"/>
    <w:unhideWhenUsed/>
    <w:rsid w:val="007803F7"/>
    <w:pPr>
      <w:tabs>
        <w:tab w:val="center" w:pos="4680"/>
        <w:tab w:val="right" w:pos="9360"/>
      </w:tabs>
      <w:spacing w:after="0" w:line="240" w:lineRule="auto"/>
    </w:pPr>
    <w:rPr>
      <w:rFonts w:asciiTheme="minorHAnsi" w:eastAsiaTheme="minorHAnsi" w:hAnsiTheme="minorHAnsi" w:cstheme="minorBidi"/>
      <w:lang w:val="en-PH"/>
    </w:rPr>
  </w:style>
  <w:style w:type="character" w:customStyle="1" w:styleId="FooterChar">
    <w:name w:val="Footer Char"/>
    <w:basedOn w:val="DefaultParagraphFont"/>
    <w:link w:val="Footer"/>
    <w:uiPriority w:val="99"/>
    <w:rsid w:val="00780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Joald</dc:creator>
  <cp:lastModifiedBy>Joald</cp:lastModifiedBy>
  <cp:revision>1</cp:revision>
  <dcterms:created xsi:type="dcterms:W3CDTF">2017-02-24T00:53:00Z</dcterms:created>
  <dcterms:modified xsi:type="dcterms:W3CDTF">2017-02-24T01:04:00Z</dcterms:modified>
</cp:coreProperties>
</file>